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A4A6C" w14:textId="77777777" w:rsidR="0007558B" w:rsidRDefault="007B1118">
      <w:pPr>
        <w:pStyle w:val="Heading1"/>
        <w:tabs>
          <w:tab w:val="left" w:pos="394"/>
        </w:tabs>
        <w:spacing w:before="480" w:after="120"/>
        <w:ind w:left="0"/>
        <w:rPr>
          <w:sz w:val="24"/>
          <w:szCs w:val="24"/>
        </w:rPr>
      </w:pPr>
      <w:bookmarkStart w:id="0" w:name="_heading=h.bxfil8b33488" w:colFirst="0" w:colLast="0"/>
      <w:bookmarkEnd w:id="0"/>
      <w:r>
        <w:rPr>
          <w:sz w:val="24"/>
          <w:szCs w:val="24"/>
        </w:rPr>
        <w:t>MOSH INSTRUCTION:</w:t>
      </w:r>
    </w:p>
    <w:tbl>
      <w:tblPr>
        <w:tblStyle w:val="a"/>
        <w:tblW w:w="11175" w:type="dxa"/>
        <w:tblBorders>
          <w:top w:val="nil"/>
          <w:left w:val="nil"/>
          <w:bottom w:val="nil"/>
          <w:right w:val="nil"/>
          <w:insideH w:val="nil"/>
          <w:insideV w:val="nil"/>
        </w:tblBorders>
        <w:tblLayout w:type="fixed"/>
        <w:tblLook w:val="0600" w:firstRow="0" w:lastRow="0" w:firstColumn="0" w:lastColumn="0" w:noHBand="1" w:noVBand="1"/>
      </w:tblPr>
      <w:tblGrid>
        <w:gridCol w:w="5640"/>
        <w:gridCol w:w="5535"/>
      </w:tblGrid>
      <w:tr w:rsidR="0007558B" w14:paraId="6B79E93C" w14:textId="77777777">
        <w:trPr>
          <w:trHeight w:val="525"/>
        </w:trPr>
        <w:tc>
          <w:tcPr>
            <w:tcW w:w="5640" w:type="dxa"/>
            <w:tcBorders>
              <w:top w:val="single" w:sz="18" w:space="0" w:color="000000"/>
              <w:left w:val="single" w:sz="18" w:space="0" w:color="000000"/>
              <w:bottom w:val="single" w:sz="18" w:space="0" w:color="000000"/>
              <w:right w:val="single" w:sz="18" w:space="0" w:color="000000"/>
            </w:tcBorders>
            <w:tcMar>
              <w:top w:w="0" w:type="dxa"/>
              <w:left w:w="100" w:type="dxa"/>
              <w:bottom w:w="0" w:type="dxa"/>
              <w:right w:w="100" w:type="dxa"/>
            </w:tcMar>
          </w:tcPr>
          <w:p w14:paraId="5815F929" w14:textId="50DB059E" w:rsidR="0007558B" w:rsidRDefault="007B1118">
            <w:pPr>
              <w:tabs>
                <w:tab w:val="left" w:pos="394"/>
              </w:tabs>
              <w:spacing w:before="200"/>
              <w:ind w:left="100"/>
              <w:rPr>
                <w:sz w:val="24"/>
                <w:szCs w:val="24"/>
              </w:rPr>
            </w:pPr>
            <w:r>
              <w:rPr>
                <w:b/>
                <w:sz w:val="24"/>
                <w:szCs w:val="24"/>
              </w:rPr>
              <w:t>INSTRUCTION NUMBER:</w:t>
            </w:r>
            <w:r>
              <w:rPr>
                <w:sz w:val="24"/>
                <w:szCs w:val="24"/>
              </w:rPr>
              <w:t xml:space="preserve"> </w:t>
            </w:r>
            <w:r w:rsidR="00B81341">
              <w:rPr>
                <w:sz w:val="24"/>
                <w:szCs w:val="24"/>
              </w:rPr>
              <w:t>24-6</w:t>
            </w:r>
          </w:p>
        </w:tc>
        <w:tc>
          <w:tcPr>
            <w:tcW w:w="5535" w:type="dxa"/>
            <w:tcBorders>
              <w:top w:val="single" w:sz="18" w:space="0" w:color="000000"/>
              <w:left w:val="nil"/>
              <w:bottom w:val="single" w:sz="18" w:space="0" w:color="000000"/>
              <w:right w:val="single" w:sz="18" w:space="0" w:color="000000"/>
            </w:tcBorders>
            <w:tcMar>
              <w:top w:w="0" w:type="dxa"/>
              <w:left w:w="100" w:type="dxa"/>
              <w:bottom w:w="0" w:type="dxa"/>
              <w:right w:w="100" w:type="dxa"/>
            </w:tcMar>
          </w:tcPr>
          <w:p w14:paraId="5E047142" w14:textId="2145A278" w:rsidR="0007558B" w:rsidRDefault="007B1118">
            <w:pPr>
              <w:tabs>
                <w:tab w:val="left" w:pos="394"/>
              </w:tabs>
              <w:spacing w:before="200" w:after="240"/>
              <w:ind w:left="40"/>
              <w:rPr>
                <w:sz w:val="24"/>
                <w:szCs w:val="24"/>
              </w:rPr>
            </w:pPr>
            <w:r>
              <w:rPr>
                <w:b/>
                <w:sz w:val="24"/>
                <w:szCs w:val="24"/>
              </w:rPr>
              <w:t>EFFECTIVE DATE:</w:t>
            </w:r>
            <w:r>
              <w:rPr>
                <w:sz w:val="24"/>
                <w:szCs w:val="24"/>
              </w:rPr>
              <w:t xml:space="preserve"> </w:t>
            </w:r>
            <w:r w:rsidR="00B81341">
              <w:rPr>
                <w:sz w:val="24"/>
                <w:szCs w:val="24"/>
              </w:rPr>
              <w:t>January 26, 2024</w:t>
            </w:r>
          </w:p>
        </w:tc>
      </w:tr>
      <w:tr w:rsidR="0007558B" w14:paraId="474BAC01" w14:textId="77777777">
        <w:trPr>
          <w:trHeight w:val="600"/>
        </w:trPr>
        <w:tc>
          <w:tcPr>
            <w:tcW w:w="5640" w:type="dxa"/>
            <w:tcBorders>
              <w:top w:val="nil"/>
              <w:left w:val="single" w:sz="18" w:space="0" w:color="000000"/>
              <w:bottom w:val="single" w:sz="18" w:space="0" w:color="000000"/>
              <w:right w:val="single" w:sz="18" w:space="0" w:color="000000"/>
            </w:tcBorders>
            <w:tcMar>
              <w:top w:w="0" w:type="dxa"/>
              <w:left w:w="100" w:type="dxa"/>
              <w:bottom w:w="0" w:type="dxa"/>
              <w:right w:w="100" w:type="dxa"/>
            </w:tcMar>
          </w:tcPr>
          <w:p w14:paraId="3EF59117" w14:textId="15A1ECB0" w:rsidR="0007558B" w:rsidRDefault="007B1118" w:rsidP="00461085">
            <w:pPr>
              <w:tabs>
                <w:tab w:val="left" w:pos="394"/>
              </w:tabs>
              <w:spacing w:before="200"/>
              <w:ind w:left="100" w:right="140"/>
              <w:rPr>
                <w:sz w:val="24"/>
                <w:szCs w:val="24"/>
              </w:rPr>
            </w:pPr>
            <w:r>
              <w:rPr>
                <w:b/>
                <w:sz w:val="24"/>
                <w:szCs w:val="24"/>
              </w:rPr>
              <w:t xml:space="preserve">SUBJECT: </w:t>
            </w:r>
            <w:bookmarkStart w:id="1" w:name="_Hlk155875557"/>
            <w:r w:rsidR="005750E9">
              <w:rPr>
                <w:sz w:val="24"/>
                <w:szCs w:val="24"/>
              </w:rPr>
              <w:t xml:space="preserve">Voluntary Protection Programs </w:t>
            </w:r>
            <w:r w:rsidR="00461085">
              <w:rPr>
                <w:sz w:val="24"/>
                <w:szCs w:val="24"/>
              </w:rPr>
              <w:t>Policies and Procedures Manual</w:t>
            </w:r>
            <w:r>
              <w:rPr>
                <w:sz w:val="24"/>
                <w:szCs w:val="24"/>
              </w:rPr>
              <w:t xml:space="preserve"> </w:t>
            </w:r>
            <w:bookmarkEnd w:id="1"/>
          </w:p>
        </w:tc>
        <w:tc>
          <w:tcPr>
            <w:tcW w:w="5535" w:type="dxa"/>
            <w:tcBorders>
              <w:top w:val="nil"/>
              <w:left w:val="nil"/>
              <w:bottom w:val="single" w:sz="18" w:space="0" w:color="000000"/>
              <w:right w:val="single" w:sz="18" w:space="0" w:color="000000"/>
            </w:tcBorders>
            <w:tcMar>
              <w:top w:w="0" w:type="dxa"/>
              <w:left w:w="100" w:type="dxa"/>
              <w:bottom w:w="0" w:type="dxa"/>
              <w:right w:w="100" w:type="dxa"/>
            </w:tcMar>
          </w:tcPr>
          <w:p w14:paraId="6DCC0794" w14:textId="3CAEB44F" w:rsidR="0007558B" w:rsidRDefault="007B1118">
            <w:pPr>
              <w:tabs>
                <w:tab w:val="left" w:pos="394"/>
              </w:tabs>
              <w:spacing w:before="200"/>
              <w:ind w:left="60"/>
              <w:rPr>
                <w:sz w:val="24"/>
                <w:szCs w:val="24"/>
              </w:rPr>
            </w:pPr>
            <w:r>
              <w:rPr>
                <w:b/>
                <w:sz w:val="24"/>
                <w:szCs w:val="24"/>
              </w:rPr>
              <w:t xml:space="preserve">ISSUANCE DATE: </w:t>
            </w:r>
            <w:r>
              <w:rPr>
                <w:sz w:val="24"/>
                <w:szCs w:val="24"/>
              </w:rPr>
              <w:t xml:space="preserve">  </w:t>
            </w:r>
            <w:r w:rsidR="00B81341">
              <w:rPr>
                <w:sz w:val="24"/>
                <w:szCs w:val="24"/>
              </w:rPr>
              <w:t>January 26, 2024</w:t>
            </w:r>
          </w:p>
        </w:tc>
      </w:tr>
      <w:tr w:rsidR="0007558B" w14:paraId="198C3926" w14:textId="77777777">
        <w:trPr>
          <w:trHeight w:val="585"/>
        </w:trPr>
        <w:tc>
          <w:tcPr>
            <w:tcW w:w="5640" w:type="dxa"/>
            <w:tcBorders>
              <w:top w:val="nil"/>
              <w:left w:val="single" w:sz="18" w:space="0" w:color="000000"/>
              <w:bottom w:val="single" w:sz="18" w:space="0" w:color="000000"/>
              <w:right w:val="single" w:sz="18" w:space="0" w:color="000000"/>
            </w:tcBorders>
            <w:tcMar>
              <w:top w:w="0" w:type="dxa"/>
              <w:left w:w="100" w:type="dxa"/>
              <w:bottom w:w="0" w:type="dxa"/>
              <w:right w:w="100" w:type="dxa"/>
            </w:tcMar>
          </w:tcPr>
          <w:p w14:paraId="3D128A4A" w14:textId="5DA03F7F" w:rsidR="0007558B" w:rsidRDefault="007B1118">
            <w:pPr>
              <w:tabs>
                <w:tab w:val="left" w:pos="394"/>
              </w:tabs>
              <w:spacing w:before="200" w:after="240"/>
              <w:ind w:left="100"/>
              <w:rPr>
                <w:sz w:val="24"/>
                <w:szCs w:val="24"/>
              </w:rPr>
            </w:pPr>
            <w:r>
              <w:rPr>
                <w:b/>
                <w:sz w:val="24"/>
                <w:szCs w:val="24"/>
              </w:rPr>
              <w:t>CANCELLATION:</w:t>
            </w:r>
            <w:r>
              <w:rPr>
                <w:sz w:val="24"/>
                <w:szCs w:val="24"/>
              </w:rPr>
              <w:t xml:space="preserve"> </w:t>
            </w:r>
            <w:r w:rsidR="00461085">
              <w:rPr>
                <w:sz w:val="24"/>
                <w:szCs w:val="24"/>
              </w:rPr>
              <w:t>MOSH Instruction 10-4</w:t>
            </w:r>
          </w:p>
        </w:tc>
        <w:tc>
          <w:tcPr>
            <w:tcW w:w="5535" w:type="dxa"/>
            <w:tcBorders>
              <w:top w:val="nil"/>
              <w:left w:val="nil"/>
              <w:bottom w:val="single" w:sz="18" w:space="0" w:color="000000"/>
              <w:right w:val="single" w:sz="18" w:space="0" w:color="000000"/>
            </w:tcBorders>
            <w:tcMar>
              <w:top w:w="0" w:type="dxa"/>
              <w:left w:w="100" w:type="dxa"/>
              <w:bottom w:w="0" w:type="dxa"/>
              <w:right w:w="100" w:type="dxa"/>
            </w:tcMar>
          </w:tcPr>
          <w:p w14:paraId="0B501041" w14:textId="77777777" w:rsidR="0007558B" w:rsidRDefault="007B1118">
            <w:pPr>
              <w:tabs>
                <w:tab w:val="left" w:pos="394"/>
              </w:tabs>
              <w:spacing w:before="200" w:after="240"/>
              <w:ind w:left="120"/>
              <w:rPr>
                <w:sz w:val="24"/>
                <w:szCs w:val="24"/>
              </w:rPr>
            </w:pPr>
            <w:r>
              <w:rPr>
                <w:b/>
                <w:sz w:val="24"/>
                <w:szCs w:val="24"/>
              </w:rPr>
              <w:t>EXPIRATION:</w:t>
            </w:r>
            <w:r>
              <w:rPr>
                <w:sz w:val="24"/>
                <w:szCs w:val="24"/>
              </w:rPr>
              <w:t xml:space="preserve">   Effective until canceled or superseded</w:t>
            </w:r>
          </w:p>
        </w:tc>
      </w:tr>
    </w:tbl>
    <w:p w14:paraId="33792EBD" w14:textId="77777777" w:rsidR="0007558B" w:rsidRDefault="007B1118">
      <w:pPr>
        <w:tabs>
          <w:tab w:val="left" w:pos="394"/>
        </w:tabs>
        <w:spacing w:before="240" w:after="240"/>
        <w:rPr>
          <w:sz w:val="24"/>
          <w:szCs w:val="24"/>
        </w:rPr>
      </w:pPr>
      <w:r>
        <w:rPr>
          <w:sz w:val="24"/>
          <w:szCs w:val="24"/>
        </w:rPr>
        <w:t xml:space="preserve"> </w:t>
      </w:r>
      <w:r>
        <w:rPr>
          <w:sz w:val="24"/>
          <w:szCs w:val="24"/>
        </w:rPr>
        <w:tab/>
      </w:r>
      <w:r>
        <w:rPr>
          <w:b/>
          <w:sz w:val="24"/>
          <w:szCs w:val="24"/>
        </w:rPr>
        <w:t xml:space="preserve">Purpose: </w:t>
      </w:r>
      <w:r>
        <w:rPr>
          <w:sz w:val="24"/>
          <w:szCs w:val="24"/>
        </w:rPr>
        <w:tab/>
      </w:r>
    </w:p>
    <w:p w14:paraId="4B02CA86" w14:textId="23963F2A" w:rsidR="0007558B" w:rsidRPr="009D4BF2" w:rsidRDefault="009D4BF2">
      <w:pPr>
        <w:pStyle w:val="Heading1"/>
        <w:tabs>
          <w:tab w:val="left" w:pos="394"/>
        </w:tabs>
        <w:spacing w:before="100" w:line="276" w:lineRule="auto"/>
        <w:ind w:left="720"/>
        <w:rPr>
          <w:b w:val="0"/>
          <w:bCs/>
          <w:sz w:val="24"/>
          <w:szCs w:val="24"/>
        </w:rPr>
      </w:pPr>
      <w:bookmarkStart w:id="2" w:name="_heading=h.oav81l6qu3r1" w:colFirst="0" w:colLast="0"/>
      <w:bookmarkEnd w:id="2"/>
      <w:r w:rsidRPr="009D4BF2">
        <w:rPr>
          <w:b w:val="0"/>
          <w:bCs/>
          <w:sz w:val="24"/>
          <w:szCs w:val="24"/>
        </w:rPr>
        <w:t xml:space="preserve">This instruction adopts the updated policy framework </w:t>
      </w:r>
      <w:r w:rsidR="00DF72B0">
        <w:rPr>
          <w:b w:val="0"/>
          <w:bCs/>
          <w:sz w:val="24"/>
          <w:szCs w:val="24"/>
        </w:rPr>
        <w:t xml:space="preserve">of </w:t>
      </w:r>
      <w:r w:rsidR="00DF72B0" w:rsidRPr="00DF72B0">
        <w:rPr>
          <w:b w:val="0"/>
          <w:bCs/>
          <w:sz w:val="24"/>
          <w:szCs w:val="24"/>
        </w:rPr>
        <w:t>OSHA Instruction, Directive Number CSP 03-01-005, Voluntary Protection Programs Policies and Procedures Manual</w:t>
      </w:r>
      <w:r w:rsidR="00DF72B0">
        <w:rPr>
          <w:b w:val="0"/>
          <w:bCs/>
          <w:sz w:val="24"/>
          <w:szCs w:val="24"/>
        </w:rPr>
        <w:t>,</w:t>
      </w:r>
      <w:r w:rsidR="00DF72B0" w:rsidRPr="009D4BF2">
        <w:rPr>
          <w:b w:val="0"/>
          <w:bCs/>
          <w:sz w:val="24"/>
          <w:szCs w:val="24"/>
        </w:rPr>
        <w:t xml:space="preserve"> </w:t>
      </w:r>
      <w:r w:rsidRPr="009D4BF2">
        <w:rPr>
          <w:b w:val="0"/>
          <w:bCs/>
          <w:sz w:val="24"/>
          <w:szCs w:val="24"/>
        </w:rPr>
        <w:t xml:space="preserve">which revises and clarifies processes and procedures for the administration and monitoring for the MOSH </w:t>
      </w:r>
      <w:r w:rsidR="005750E9">
        <w:rPr>
          <w:b w:val="0"/>
          <w:bCs/>
          <w:sz w:val="24"/>
          <w:szCs w:val="24"/>
        </w:rPr>
        <w:t>Voluntary Protection Program</w:t>
      </w:r>
      <w:r w:rsidRPr="009D4BF2">
        <w:rPr>
          <w:b w:val="0"/>
          <w:bCs/>
          <w:sz w:val="24"/>
          <w:szCs w:val="24"/>
        </w:rPr>
        <w:t>.</w:t>
      </w:r>
    </w:p>
    <w:p w14:paraId="4520438E" w14:textId="77777777" w:rsidR="0007558B" w:rsidRDefault="007B1118">
      <w:pPr>
        <w:tabs>
          <w:tab w:val="left" w:pos="394"/>
        </w:tabs>
        <w:spacing w:before="240" w:after="240" w:line="276" w:lineRule="auto"/>
        <w:rPr>
          <w:sz w:val="24"/>
          <w:szCs w:val="24"/>
        </w:rPr>
      </w:pPr>
      <w:r>
        <w:rPr>
          <w:sz w:val="24"/>
          <w:szCs w:val="24"/>
        </w:rPr>
        <w:t xml:space="preserve"> </w:t>
      </w:r>
      <w:r>
        <w:rPr>
          <w:sz w:val="24"/>
          <w:szCs w:val="24"/>
        </w:rPr>
        <w:tab/>
      </w:r>
      <w:r>
        <w:rPr>
          <w:b/>
          <w:sz w:val="24"/>
          <w:szCs w:val="24"/>
        </w:rPr>
        <w:t xml:space="preserve">Scope: </w:t>
      </w:r>
      <w:r>
        <w:rPr>
          <w:sz w:val="24"/>
          <w:szCs w:val="24"/>
        </w:rPr>
        <w:t xml:space="preserve">    </w:t>
      </w:r>
      <w:r>
        <w:rPr>
          <w:sz w:val="24"/>
          <w:szCs w:val="24"/>
        </w:rPr>
        <w:tab/>
        <w:t>MOSH-wide</w:t>
      </w:r>
    </w:p>
    <w:p w14:paraId="01CC865E" w14:textId="77777777" w:rsidR="0007558B" w:rsidRDefault="007B1118">
      <w:pPr>
        <w:pStyle w:val="Heading1"/>
        <w:keepLines/>
        <w:tabs>
          <w:tab w:val="left" w:pos="394"/>
        </w:tabs>
        <w:spacing w:before="0" w:line="276" w:lineRule="auto"/>
        <w:ind w:left="0"/>
        <w:rPr>
          <w:sz w:val="24"/>
          <w:szCs w:val="24"/>
        </w:rPr>
      </w:pPr>
      <w:bookmarkStart w:id="3" w:name="_heading=h.qubxh4xdqtrr" w:colFirst="0" w:colLast="0"/>
      <w:bookmarkEnd w:id="3"/>
      <w:r>
        <w:rPr>
          <w:b w:val="0"/>
          <w:sz w:val="24"/>
          <w:szCs w:val="24"/>
        </w:rPr>
        <w:tab/>
      </w:r>
      <w:r>
        <w:rPr>
          <w:sz w:val="24"/>
          <w:szCs w:val="24"/>
        </w:rPr>
        <w:t xml:space="preserve">Reference: </w:t>
      </w:r>
      <w:r>
        <w:rPr>
          <w:sz w:val="24"/>
          <w:szCs w:val="24"/>
        </w:rPr>
        <w:tab/>
      </w:r>
    </w:p>
    <w:p w14:paraId="7973F3B6" w14:textId="499CC2B9" w:rsidR="0070029A" w:rsidRPr="00461085" w:rsidRDefault="0070029A" w:rsidP="00461085">
      <w:pPr>
        <w:pStyle w:val="ListParagraph"/>
        <w:keepLines/>
        <w:numPr>
          <w:ilvl w:val="0"/>
          <w:numId w:val="4"/>
        </w:numPr>
        <w:tabs>
          <w:tab w:val="left" w:pos="394"/>
        </w:tabs>
        <w:spacing w:line="276" w:lineRule="auto"/>
        <w:rPr>
          <w:sz w:val="24"/>
          <w:szCs w:val="24"/>
        </w:rPr>
      </w:pPr>
      <w:bookmarkStart w:id="4" w:name="_heading=h.tisy4dwu49dp" w:colFirst="0" w:colLast="0"/>
      <w:bookmarkEnd w:id="4"/>
      <w:r w:rsidRPr="00461085">
        <w:rPr>
          <w:sz w:val="24"/>
          <w:szCs w:val="24"/>
        </w:rPr>
        <w:t>OSHA Directive CSP 03-01-005, Voluntary Protection Programs Policies and Procedures Manual</w:t>
      </w:r>
      <w:r w:rsidR="00D52BEE" w:rsidRPr="00461085">
        <w:rPr>
          <w:sz w:val="24"/>
          <w:szCs w:val="24"/>
        </w:rPr>
        <w:t>.</w:t>
      </w:r>
    </w:p>
    <w:p w14:paraId="11FA3F9F" w14:textId="281BBEA4" w:rsidR="00D52BEE" w:rsidRPr="00F51154" w:rsidRDefault="00461085" w:rsidP="009D4BF2">
      <w:pPr>
        <w:pStyle w:val="ListParagraph"/>
        <w:keepLines/>
        <w:numPr>
          <w:ilvl w:val="0"/>
          <w:numId w:val="4"/>
        </w:numPr>
        <w:tabs>
          <w:tab w:val="left" w:pos="394"/>
        </w:tabs>
        <w:spacing w:line="276" w:lineRule="auto"/>
        <w:rPr>
          <w:sz w:val="24"/>
          <w:szCs w:val="24"/>
        </w:rPr>
      </w:pPr>
      <w:r>
        <w:rPr>
          <w:sz w:val="24"/>
          <w:szCs w:val="24"/>
        </w:rPr>
        <w:t xml:space="preserve">Maryland </w:t>
      </w:r>
      <w:r w:rsidR="00D52BEE">
        <w:rPr>
          <w:sz w:val="24"/>
          <w:szCs w:val="24"/>
        </w:rPr>
        <w:t>Labor and Employment, Title 5. Subtitle 10, Voluntary Protection Program.</w:t>
      </w:r>
    </w:p>
    <w:p w14:paraId="40A7EEF3" w14:textId="6A861721" w:rsidR="005750E9" w:rsidRPr="00F51154" w:rsidRDefault="00461085" w:rsidP="005750E9">
      <w:pPr>
        <w:pStyle w:val="ListParagraph"/>
        <w:keepLines/>
        <w:numPr>
          <w:ilvl w:val="0"/>
          <w:numId w:val="4"/>
        </w:numPr>
        <w:tabs>
          <w:tab w:val="left" w:pos="394"/>
        </w:tabs>
        <w:spacing w:line="276" w:lineRule="auto"/>
        <w:rPr>
          <w:sz w:val="24"/>
          <w:szCs w:val="24"/>
        </w:rPr>
      </w:pPr>
      <w:r>
        <w:rPr>
          <w:sz w:val="24"/>
          <w:szCs w:val="24"/>
        </w:rPr>
        <w:t xml:space="preserve">Current </w:t>
      </w:r>
      <w:r w:rsidR="005750E9">
        <w:rPr>
          <w:sz w:val="24"/>
          <w:szCs w:val="24"/>
        </w:rPr>
        <w:t>MOSH</w:t>
      </w:r>
      <w:r w:rsidR="005750E9" w:rsidRPr="00F51154">
        <w:rPr>
          <w:sz w:val="24"/>
          <w:szCs w:val="24"/>
        </w:rPr>
        <w:t xml:space="preserve"> Field Operations Manual</w:t>
      </w:r>
      <w:r>
        <w:rPr>
          <w:sz w:val="24"/>
          <w:szCs w:val="24"/>
        </w:rPr>
        <w:t xml:space="preserve"> (FOM).</w:t>
      </w:r>
    </w:p>
    <w:p w14:paraId="48FDEC38" w14:textId="16997716" w:rsidR="00F51154" w:rsidRPr="00F51154" w:rsidRDefault="00E90D49" w:rsidP="009D4BF2">
      <w:pPr>
        <w:pStyle w:val="ListParagraph"/>
        <w:keepLines/>
        <w:numPr>
          <w:ilvl w:val="0"/>
          <w:numId w:val="4"/>
        </w:numPr>
        <w:tabs>
          <w:tab w:val="left" w:pos="394"/>
        </w:tabs>
        <w:spacing w:line="276" w:lineRule="auto"/>
        <w:rPr>
          <w:sz w:val="24"/>
          <w:szCs w:val="24"/>
        </w:rPr>
      </w:pPr>
      <w:r>
        <w:rPr>
          <w:sz w:val="24"/>
          <w:szCs w:val="24"/>
        </w:rPr>
        <w:t xml:space="preserve">Federal Register Notice 74 FR 927, </w:t>
      </w:r>
      <w:r>
        <w:rPr>
          <w:i/>
          <w:iCs/>
          <w:sz w:val="24"/>
          <w:szCs w:val="24"/>
        </w:rPr>
        <w:t>Revisions to Voluntary Protection Programs to Provide Safe and Healthful Working Conditions, January 9, 200</w:t>
      </w:r>
      <w:r w:rsidR="00461085">
        <w:rPr>
          <w:i/>
          <w:iCs/>
          <w:sz w:val="24"/>
          <w:szCs w:val="24"/>
        </w:rPr>
        <w:t>9.</w:t>
      </w:r>
    </w:p>
    <w:p w14:paraId="0665A7F6" w14:textId="490CB6AA" w:rsidR="00F51154" w:rsidRPr="00F51154" w:rsidRDefault="00E90D49" w:rsidP="009D4BF2">
      <w:pPr>
        <w:pStyle w:val="ListParagraph"/>
        <w:keepLines/>
        <w:numPr>
          <w:ilvl w:val="0"/>
          <w:numId w:val="4"/>
        </w:numPr>
        <w:tabs>
          <w:tab w:val="left" w:pos="394"/>
        </w:tabs>
        <w:spacing w:line="276" w:lineRule="auto"/>
        <w:rPr>
          <w:sz w:val="24"/>
          <w:szCs w:val="24"/>
        </w:rPr>
      </w:pPr>
      <w:r>
        <w:rPr>
          <w:sz w:val="24"/>
          <w:szCs w:val="24"/>
        </w:rPr>
        <w:t xml:space="preserve">OSHA Instruction CSP 03-01-004, </w:t>
      </w:r>
      <w:r>
        <w:rPr>
          <w:i/>
          <w:iCs/>
          <w:sz w:val="24"/>
          <w:szCs w:val="24"/>
        </w:rPr>
        <w:t>Special Government Employee (SGE) Program Policies and Procedures Manual for the Occupational Safety and Health Administration’s (OSHA) Voluntary Protection Programs, July 30, 2015.</w:t>
      </w:r>
    </w:p>
    <w:p w14:paraId="2B6A80FC" w14:textId="098815C9" w:rsidR="00F51154" w:rsidRPr="00F51154" w:rsidRDefault="00E90D49" w:rsidP="009D4BF2">
      <w:pPr>
        <w:pStyle w:val="ListParagraph"/>
        <w:keepLines/>
        <w:numPr>
          <w:ilvl w:val="0"/>
          <w:numId w:val="4"/>
        </w:numPr>
        <w:tabs>
          <w:tab w:val="left" w:pos="394"/>
        </w:tabs>
        <w:spacing w:line="276" w:lineRule="auto"/>
        <w:rPr>
          <w:sz w:val="24"/>
          <w:szCs w:val="24"/>
        </w:rPr>
      </w:pPr>
      <w:r>
        <w:rPr>
          <w:sz w:val="24"/>
          <w:szCs w:val="24"/>
        </w:rPr>
        <w:t xml:space="preserve">OSHA Publication 3885, </w:t>
      </w:r>
      <w:r>
        <w:rPr>
          <w:i/>
          <w:iCs/>
          <w:sz w:val="24"/>
          <w:szCs w:val="24"/>
        </w:rPr>
        <w:t xml:space="preserve">Recommended Practices for Safety and Health Programs, </w:t>
      </w:r>
      <w:r>
        <w:rPr>
          <w:sz w:val="24"/>
          <w:szCs w:val="24"/>
        </w:rPr>
        <w:t>October 2016 https://www.osha.gov/shpguidlines/index.html</w:t>
      </w:r>
    </w:p>
    <w:p w14:paraId="511288BB" w14:textId="77777777" w:rsidR="009D4BF2" w:rsidRDefault="009D4BF2">
      <w:pPr>
        <w:keepLines/>
        <w:tabs>
          <w:tab w:val="left" w:pos="394"/>
        </w:tabs>
        <w:spacing w:line="276" w:lineRule="auto"/>
        <w:ind w:left="2160"/>
        <w:rPr>
          <w:color w:val="1155CC"/>
          <w:sz w:val="24"/>
          <w:szCs w:val="24"/>
          <w:highlight w:val="white"/>
        </w:rPr>
      </w:pPr>
    </w:p>
    <w:p w14:paraId="443105B0" w14:textId="77777777" w:rsidR="00461085" w:rsidRDefault="007B1118" w:rsidP="00461085">
      <w:pPr>
        <w:pStyle w:val="Heading1"/>
        <w:tabs>
          <w:tab w:val="left" w:pos="394"/>
        </w:tabs>
        <w:spacing w:before="0" w:line="276" w:lineRule="auto"/>
        <w:ind w:left="40" w:hanging="20"/>
        <w:rPr>
          <w:b w:val="0"/>
          <w:sz w:val="24"/>
          <w:szCs w:val="24"/>
        </w:rPr>
      </w:pPr>
      <w:bookmarkStart w:id="5" w:name="_heading=h.2byt0zfg6iyi" w:colFirst="0" w:colLast="0"/>
      <w:bookmarkEnd w:id="5"/>
      <w:r>
        <w:rPr>
          <w:b w:val="0"/>
          <w:sz w:val="24"/>
          <w:szCs w:val="24"/>
        </w:rPr>
        <w:tab/>
      </w:r>
      <w:r>
        <w:rPr>
          <w:b w:val="0"/>
          <w:sz w:val="24"/>
          <w:szCs w:val="24"/>
        </w:rPr>
        <w:tab/>
      </w:r>
      <w:r>
        <w:rPr>
          <w:sz w:val="24"/>
          <w:szCs w:val="24"/>
        </w:rPr>
        <w:t xml:space="preserve">Contact:   </w:t>
      </w:r>
      <w:r w:rsidR="00461085">
        <w:rPr>
          <w:b w:val="0"/>
          <w:sz w:val="24"/>
          <w:szCs w:val="24"/>
        </w:rPr>
        <w:t>Chief of MOSH Compliance Services</w:t>
      </w:r>
    </w:p>
    <w:p w14:paraId="7AF3F999" w14:textId="1C57B080" w:rsidR="009D4BF2" w:rsidRPr="00461085" w:rsidRDefault="00461085" w:rsidP="00461085">
      <w:pPr>
        <w:pStyle w:val="Heading1"/>
        <w:tabs>
          <w:tab w:val="left" w:pos="394"/>
        </w:tabs>
        <w:spacing w:before="0" w:line="276" w:lineRule="auto"/>
        <w:ind w:left="40" w:hanging="20"/>
        <w:rPr>
          <w:b w:val="0"/>
          <w:bCs/>
          <w:sz w:val="24"/>
          <w:szCs w:val="24"/>
        </w:rPr>
      </w:pPr>
      <w:r>
        <w:rPr>
          <w:sz w:val="24"/>
          <w:szCs w:val="24"/>
        </w:rPr>
        <w:tab/>
      </w:r>
      <w:r>
        <w:rPr>
          <w:sz w:val="24"/>
          <w:szCs w:val="24"/>
        </w:rPr>
        <w:tab/>
      </w:r>
      <w:r>
        <w:rPr>
          <w:sz w:val="24"/>
          <w:szCs w:val="24"/>
        </w:rPr>
        <w:tab/>
      </w:r>
      <w:r>
        <w:rPr>
          <w:sz w:val="24"/>
          <w:szCs w:val="24"/>
        </w:rPr>
        <w:tab/>
        <w:t xml:space="preserve"> </w:t>
      </w:r>
      <w:r w:rsidRPr="00461085">
        <w:rPr>
          <w:b w:val="0"/>
          <w:bCs/>
          <w:sz w:val="24"/>
          <w:szCs w:val="24"/>
        </w:rPr>
        <w:t>See MOSH Website for Current Information http://www.labor.md.gov/labor/mosh</w:t>
      </w:r>
    </w:p>
    <w:p w14:paraId="4F69EFFB" w14:textId="77777777" w:rsidR="007A0626" w:rsidRPr="009D4BF2" w:rsidRDefault="007A0626" w:rsidP="009D4BF2">
      <w:pPr>
        <w:rPr>
          <w:sz w:val="24"/>
          <w:szCs w:val="24"/>
        </w:rPr>
      </w:pPr>
    </w:p>
    <w:p w14:paraId="3F14E2F2" w14:textId="77777777" w:rsidR="0007558B" w:rsidRDefault="007B1118" w:rsidP="00461085">
      <w:pPr>
        <w:tabs>
          <w:tab w:val="left" w:pos="394"/>
        </w:tabs>
        <w:spacing w:before="120" w:after="240" w:line="276" w:lineRule="auto"/>
        <w:ind w:left="180"/>
        <w:rPr>
          <w:b/>
          <w:sz w:val="24"/>
          <w:szCs w:val="24"/>
        </w:rPr>
      </w:pPr>
      <w:r>
        <w:rPr>
          <w:sz w:val="14"/>
          <w:szCs w:val="14"/>
        </w:rPr>
        <w:t xml:space="preserve">      </w:t>
      </w:r>
      <w:r>
        <w:rPr>
          <w:b/>
          <w:sz w:val="24"/>
          <w:szCs w:val="24"/>
        </w:rPr>
        <w:t>Background:</w:t>
      </w:r>
    </w:p>
    <w:p w14:paraId="58E2AA24" w14:textId="4FE11207" w:rsidR="007A0626" w:rsidRPr="00413B1C" w:rsidRDefault="009D4BF2" w:rsidP="007A0626">
      <w:pPr>
        <w:tabs>
          <w:tab w:val="left" w:pos="394"/>
        </w:tabs>
        <w:spacing w:before="120" w:line="276" w:lineRule="auto"/>
        <w:ind w:left="810" w:right="500"/>
        <w:rPr>
          <w:b/>
          <w:sz w:val="14"/>
          <w:szCs w:val="14"/>
        </w:rPr>
      </w:pPr>
      <w:r w:rsidRPr="0056027C">
        <w:rPr>
          <w:sz w:val="24"/>
          <w:szCs w:val="24"/>
        </w:rPr>
        <w:t xml:space="preserve">OSHA has issued an updated </w:t>
      </w:r>
      <w:r w:rsidR="00E90D49">
        <w:rPr>
          <w:sz w:val="24"/>
          <w:szCs w:val="24"/>
        </w:rPr>
        <w:t>Voluntary Protection Program</w:t>
      </w:r>
      <w:r w:rsidRPr="0056027C">
        <w:rPr>
          <w:sz w:val="24"/>
          <w:szCs w:val="24"/>
        </w:rPr>
        <w:t xml:space="preserve"> Policies and Procedures Manual to include updates and clarification for </w:t>
      </w:r>
      <w:r w:rsidR="00E90D49">
        <w:rPr>
          <w:sz w:val="24"/>
          <w:szCs w:val="24"/>
        </w:rPr>
        <w:t xml:space="preserve">actions following a fatality/catastrophe/enforcement action and failure to </w:t>
      </w:r>
      <w:r w:rsidR="00E90D49">
        <w:rPr>
          <w:sz w:val="24"/>
          <w:szCs w:val="24"/>
        </w:rPr>
        <w:lastRenderedPageBreak/>
        <w:t>report a significant incident at a VPP site.</w:t>
      </w:r>
    </w:p>
    <w:p w14:paraId="33041919" w14:textId="37E31E81" w:rsidR="0007558B" w:rsidRDefault="007B1118" w:rsidP="009D4BF2">
      <w:pPr>
        <w:tabs>
          <w:tab w:val="left" w:pos="394"/>
        </w:tabs>
        <w:spacing w:before="120" w:line="276" w:lineRule="auto"/>
        <w:ind w:left="1530" w:right="500" w:hanging="1350"/>
        <w:rPr>
          <w:b/>
          <w:sz w:val="24"/>
          <w:szCs w:val="24"/>
        </w:rPr>
      </w:pPr>
      <w:r>
        <w:rPr>
          <w:b/>
          <w:sz w:val="24"/>
          <w:szCs w:val="24"/>
        </w:rPr>
        <w:t xml:space="preserve">Action: </w:t>
      </w:r>
    </w:p>
    <w:p w14:paraId="1C1910E8" w14:textId="2825A7A2" w:rsidR="007A0626" w:rsidRDefault="007A0626">
      <w:pPr>
        <w:numPr>
          <w:ilvl w:val="0"/>
          <w:numId w:val="3"/>
        </w:numPr>
        <w:tabs>
          <w:tab w:val="left" w:pos="394"/>
        </w:tabs>
        <w:spacing w:before="120" w:line="276" w:lineRule="auto"/>
        <w:ind w:right="500"/>
        <w:rPr>
          <w:sz w:val="24"/>
          <w:szCs w:val="24"/>
        </w:rPr>
      </w:pPr>
      <w:r>
        <w:rPr>
          <w:sz w:val="24"/>
          <w:szCs w:val="24"/>
        </w:rPr>
        <w:t>MOSH is adopting OSHA’s Voluntary Protection Program Policies and Procedures Manual with the following restrictions:</w:t>
      </w:r>
    </w:p>
    <w:p w14:paraId="629015E1" w14:textId="4BDAED4E" w:rsidR="007A0626" w:rsidRDefault="007A0626" w:rsidP="007A0626">
      <w:pPr>
        <w:numPr>
          <w:ilvl w:val="1"/>
          <w:numId w:val="3"/>
        </w:numPr>
        <w:tabs>
          <w:tab w:val="left" w:pos="394"/>
        </w:tabs>
        <w:spacing w:before="120" w:line="276" w:lineRule="auto"/>
        <w:ind w:right="500"/>
        <w:rPr>
          <w:sz w:val="24"/>
          <w:szCs w:val="24"/>
        </w:rPr>
      </w:pPr>
      <w:r>
        <w:rPr>
          <w:sz w:val="24"/>
          <w:szCs w:val="24"/>
        </w:rPr>
        <w:t>MOSH’s participation is limited to fixed general industry sites.</w:t>
      </w:r>
    </w:p>
    <w:p w14:paraId="1D08A7FC" w14:textId="31BC58EF" w:rsidR="007A0626" w:rsidRDefault="007A0626" w:rsidP="007A0626">
      <w:pPr>
        <w:numPr>
          <w:ilvl w:val="1"/>
          <w:numId w:val="3"/>
        </w:numPr>
        <w:tabs>
          <w:tab w:val="left" w:pos="394"/>
        </w:tabs>
        <w:spacing w:before="120" w:line="276" w:lineRule="auto"/>
        <w:ind w:right="500"/>
        <w:rPr>
          <w:sz w:val="24"/>
          <w:szCs w:val="24"/>
        </w:rPr>
      </w:pPr>
      <w:r>
        <w:rPr>
          <w:sz w:val="24"/>
          <w:szCs w:val="24"/>
        </w:rPr>
        <w:t>MOSH’s participation is limited to Star quality sites only. There are no Merit designations.</w:t>
      </w:r>
    </w:p>
    <w:p w14:paraId="73D2A8FE" w14:textId="616234DF" w:rsidR="007A0626" w:rsidRDefault="007A0626" w:rsidP="007A0626">
      <w:pPr>
        <w:numPr>
          <w:ilvl w:val="1"/>
          <w:numId w:val="3"/>
        </w:numPr>
        <w:tabs>
          <w:tab w:val="left" w:pos="394"/>
        </w:tabs>
        <w:spacing w:before="120" w:line="276" w:lineRule="auto"/>
        <w:ind w:right="500"/>
        <w:rPr>
          <w:sz w:val="24"/>
          <w:szCs w:val="24"/>
        </w:rPr>
      </w:pPr>
      <w:r>
        <w:rPr>
          <w:sz w:val="24"/>
          <w:szCs w:val="24"/>
        </w:rPr>
        <w:t>MOSH will not forward all the various reports required of Federal offices, except the usual end-of-month information on newly approved VPP sites. MOSH is adopting all other provisions in OSHA’s VPP.</w:t>
      </w:r>
    </w:p>
    <w:p w14:paraId="3F43AA1A" w14:textId="66F5CF70" w:rsidR="0007558B" w:rsidRDefault="009B4B27">
      <w:pPr>
        <w:numPr>
          <w:ilvl w:val="0"/>
          <w:numId w:val="3"/>
        </w:numPr>
        <w:tabs>
          <w:tab w:val="left" w:pos="394"/>
        </w:tabs>
        <w:spacing w:before="120" w:line="276" w:lineRule="auto"/>
        <w:ind w:right="500"/>
        <w:rPr>
          <w:sz w:val="24"/>
          <w:szCs w:val="24"/>
        </w:rPr>
      </w:pPr>
      <w:r>
        <w:rPr>
          <w:sz w:val="24"/>
          <w:szCs w:val="24"/>
        </w:rPr>
        <w:t>In any circumstance where OSHA Directive CPL 03-01-005 may conflict with the current MOSH FOM outside of these direct modifications, the MOSH Act, or this MOSH Instruction, the guidance in the MOSH FOM, Act, or Instruction shall prevail.</w:t>
      </w:r>
    </w:p>
    <w:p w14:paraId="21E16F01" w14:textId="3F92871B" w:rsidR="0007558B" w:rsidRDefault="009D4BF2">
      <w:pPr>
        <w:numPr>
          <w:ilvl w:val="0"/>
          <w:numId w:val="3"/>
        </w:numPr>
        <w:tabs>
          <w:tab w:val="left" w:pos="394"/>
        </w:tabs>
        <w:spacing w:line="276" w:lineRule="auto"/>
        <w:ind w:right="200"/>
        <w:rPr>
          <w:sz w:val="24"/>
          <w:szCs w:val="24"/>
        </w:rPr>
      </w:pPr>
      <w:r>
        <w:rPr>
          <w:sz w:val="24"/>
          <w:szCs w:val="24"/>
        </w:rPr>
        <w:t>Supervisors shall ensure that this notice is reviewed with all compliance officers and consultation staff.</w:t>
      </w:r>
    </w:p>
    <w:p w14:paraId="7E76C04D" w14:textId="77777777" w:rsidR="00DF72B0" w:rsidRDefault="00DF72B0" w:rsidP="00DF72B0">
      <w:pPr>
        <w:tabs>
          <w:tab w:val="left" w:pos="394"/>
        </w:tabs>
        <w:spacing w:line="276" w:lineRule="auto"/>
        <w:ind w:left="1440" w:right="200"/>
        <w:rPr>
          <w:sz w:val="24"/>
          <w:szCs w:val="24"/>
        </w:rPr>
      </w:pPr>
    </w:p>
    <w:p w14:paraId="531FDB4F" w14:textId="6945BC91" w:rsidR="0007558B" w:rsidRDefault="007B1118" w:rsidP="007B1118">
      <w:pPr>
        <w:tabs>
          <w:tab w:val="left" w:pos="394"/>
        </w:tabs>
        <w:spacing w:before="100" w:after="240"/>
        <w:ind w:left="720"/>
        <w:rPr>
          <w:sz w:val="24"/>
          <w:szCs w:val="24"/>
        </w:rPr>
      </w:pPr>
      <w:r>
        <w:rPr>
          <w:sz w:val="24"/>
          <w:szCs w:val="24"/>
        </w:rPr>
        <w:t>By and Under the Authority of:</w:t>
      </w:r>
    </w:p>
    <w:p w14:paraId="082D4CF4" w14:textId="3B949F1F" w:rsidR="0007558B" w:rsidRDefault="007B1118">
      <w:pPr>
        <w:tabs>
          <w:tab w:val="left" w:pos="394"/>
        </w:tabs>
        <w:spacing w:before="240" w:after="240"/>
        <w:ind w:left="720"/>
        <w:rPr>
          <w:sz w:val="24"/>
          <w:szCs w:val="24"/>
        </w:rPr>
      </w:pPr>
      <w:r w:rsidRPr="007642F5">
        <w:rPr>
          <w:noProof/>
          <w:sz w:val="24"/>
          <w:szCs w:val="24"/>
        </w:rPr>
        <w:drawing>
          <wp:inline distT="0" distB="0" distL="0" distR="0" wp14:anchorId="4FA92CF8" wp14:editId="282F1597">
            <wp:extent cx="2959100" cy="509270"/>
            <wp:effectExtent l="0" t="0" r="0" b="5080"/>
            <wp:docPr id="1466906526" name="Picture 1466906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9100" cy="509270"/>
                    </a:xfrm>
                    <a:prstGeom prst="rect">
                      <a:avLst/>
                    </a:prstGeom>
                    <a:noFill/>
                    <a:ln>
                      <a:noFill/>
                    </a:ln>
                  </pic:spPr>
                </pic:pic>
              </a:graphicData>
            </a:graphic>
          </wp:inline>
        </w:drawing>
      </w:r>
      <w:r>
        <w:rPr>
          <w:sz w:val="24"/>
          <w:szCs w:val="24"/>
        </w:rPr>
        <w:t xml:space="preserve">                     </w:t>
      </w:r>
    </w:p>
    <w:p w14:paraId="4CEDEBA8" w14:textId="77777777" w:rsidR="0007558B" w:rsidRDefault="007B1118">
      <w:pPr>
        <w:tabs>
          <w:tab w:val="left" w:pos="394"/>
        </w:tabs>
        <w:spacing w:before="240" w:after="240"/>
        <w:ind w:left="720"/>
        <w:rPr>
          <w:sz w:val="24"/>
          <w:szCs w:val="24"/>
        </w:rPr>
      </w:pPr>
      <w:r>
        <w:rPr>
          <w:sz w:val="24"/>
          <w:szCs w:val="24"/>
        </w:rPr>
        <w:t xml:space="preserve">Michael A. Penn CSP, SMS </w:t>
      </w:r>
    </w:p>
    <w:p w14:paraId="5E765CA7" w14:textId="77777777" w:rsidR="0007558B" w:rsidRDefault="007B1118">
      <w:pPr>
        <w:tabs>
          <w:tab w:val="left" w:pos="394"/>
        </w:tabs>
        <w:spacing w:before="240" w:after="240"/>
        <w:ind w:left="720"/>
        <w:rPr>
          <w:b/>
          <w:sz w:val="24"/>
          <w:szCs w:val="24"/>
          <w:u w:val="single"/>
        </w:rPr>
      </w:pPr>
      <w:r>
        <w:rPr>
          <w:sz w:val="24"/>
          <w:szCs w:val="24"/>
        </w:rPr>
        <w:t>Acting Assistant Commissioner</w:t>
      </w:r>
    </w:p>
    <w:sectPr w:rsidR="0007558B">
      <w:headerReference w:type="default" r:id="rId9"/>
      <w:footerReference w:type="default" r:id="rId10"/>
      <w:headerReference w:type="first" r:id="rId11"/>
      <w:footerReference w:type="first" r:id="rId12"/>
      <w:pgSz w:w="12240" w:h="15840"/>
      <w:pgMar w:top="1500" w:right="420" w:bottom="280" w:left="56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7F84D" w14:textId="77777777" w:rsidR="005E494C" w:rsidRDefault="005E494C">
      <w:r>
        <w:separator/>
      </w:r>
    </w:p>
  </w:endnote>
  <w:endnote w:type="continuationSeparator" w:id="0">
    <w:p w14:paraId="68BEBBA3" w14:textId="77777777" w:rsidR="005E494C" w:rsidRDefault="005E4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AD7CC" w14:textId="77777777" w:rsidR="0007558B" w:rsidRDefault="007B1118">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9D4BF2">
      <w:rPr>
        <w:noProof/>
        <w:color w:val="000000"/>
      </w:rPr>
      <w:t>2</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02880" w14:textId="77777777" w:rsidR="0007558B" w:rsidRDefault="007B1118">
    <w:pPr>
      <w:widowControl/>
      <w:pBdr>
        <w:top w:val="nil"/>
        <w:left w:val="nil"/>
        <w:bottom w:val="nil"/>
        <w:right w:val="nil"/>
        <w:between w:val="nil"/>
      </w:pBdr>
      <w:jc w:val="center"/>
      <w:rPr>
        <w:rFonts w:ascii="Gill Sans" w:eastAsia="Gill Sans" w:hAnsi="Gill Sans" w:cs="Gill Sans"/>
        <w:smallCaps/>
        <w:sz w:val="20"/>
        <w:szCs w:val="20"/>
      </w:rPr>
    </w:pPr>
    <w:r>
      <w:rPr>
        <w:noProof/>
      </w:rPr>
      <mc:AlternateContent>
        <mc:Choice Requires="wpg">
          <w:drawing>
            <wp:anchor distT="0" distB="0" distL="0" distR="0" simplePos="0" relativeHeight="251659264" behindDoc="1" locked="0" layoutInCell="1" hidden="0" allowOverlap="1" wp14:anchorId="3E190ED6" wp14:editId="625B01A5">
              <wp:simplePos x="0" y="0"/>
              <wp:positionH relativeFrom="column">
                <wp:posOffset>0</wp:posOffset>
              </wp:positionH>
              <wp:positionV relativeFrom="paragraph">
                <wp:posOffset>0</wp:posOffset>
              </wp:positionV>
              <wp:extent cx="7115175" cy="476888"/>
              <wp:effectExtent l="0" t="0" r="0" b="0"/>
              <wp:wrapNone/>
              <wp:docPr id="1" name="Group 1"/>
              <wp:cNvGraphicFramePr/>
              <a:graphic xmlns:a="http://schemas.openxmlformats.org/drawingml/2006/main">
                <a:graphicData uri="http://schemas.microsoft.com/office/word/2010/wordprocessingGroup">
                  <wpg:wgp>
                    <wpg:cNvGrpSpPr/>
                    <wpg:grpSpPr>
                      <a:xfrm>
                        <a:off x="0" y="0"/>
                        <a:ext cx="7115175" cy="476888"/>
                        <a:chOff x="1788400" y="3541550"/>
                        <a:chExt cx="7115200" cy="476900"/>
                      </a:xfrm>
                    </wpg:grpSpPr>
                    <wpg:grpSp>
                      <wpg:cNvPr id="244453533" name="Group 244453533"/>
                      <wpg:cNvGrpSpPr/>
                      <wpg:grpSpPr>
                        <a:xfrm>
                          <a:off x="1788413" y="3541556"/>
                          <a:ext cx="7115175" cy="476888"/>
                          <a:chOff x="1788400" y="3541550"/>
                          <a:chExt cx="7115200" cy="476900"/>
                        </a:xfrm>
                      </wpg:grpSpPr>
                      <wps:wsp>
                        <wps:cNvPr id="2032762491" name="Rectangle 2032762491"/>
                        <wps:cNvSpPr/>
                        <wps:spPr>
                          <a:xfrm>
                            <a:off x="1788400" y="3541550"/>
                            <a:ext cx="7115200" cy="476900"/>
                          </a:xfrm>
                          <a:prstGeom prst="rect">
                            <a:avLst/>
                          </a:prstGeom>
                          <a:noFill/>
                          <a:ln>
                            <a:noFill/>
                          </a:ln>
                        </wps:spPr>
                        <wps:txbx>
                          <w:txbxContent>
                            <w:p w14:paraId="585B06A9" w14:textId="77777777" w:rsidR="0007558B" w:rsidRDefault="0007558B">
                              <w:pPr>
                                <w:textDirection w:val="btLr"/>
                              </w:pPr>
                            </w:p>
                          </w:txbxContent>
                        </wps:txbx>
                        <wps:bodyPr spcFirstLastPara="1" wrap="square" lIns="91425" tIns="91425" rIns="91425" bIns="91425" anchor="ctr" anchorCtr="0">
                          <a:noAutofit/>
                        </wps:bodyPr>
                      </wps:wsp>
                      <wpg:grpSp>
                        <wpg:cNvPr id="1170312800" name="Group 1170312800"/>
                        <wpg:cNvGrpSpPr/>
                        <wpg:grpSpPr>
                          <a:xfrm>
                            <a:off x="1788413" y="3541556"/>
                            <a:ext cx="7115175" cy="476888"/>
                            <a:chOff x="1802700" y="3551400"/>
                            <a:chExt cx="7086600" cy="457200"/>
                          </a:xfrm>
                        </wpg:grpSpPr>
                        <wps:wsp>
                          <wps:cNvPr id="1785414703" name="Rectangle 1785414703"/>
                          <wps:cNvSpPr/>
                          <wps:spPr>
                            <a:xfrm>
                              <a:off x="1802700" y="3551400"/>
                              <a:ext cx="7086600" cy="457200"/>
                            </a:xfrm>
                            <a:prstGeom prst="rect">
                              <a:avLst/>
                            </a:prstGeom>
                            <a:noFill/>
                            <a:ln>
                              <a:noFill/>
                            </a:ln>
                          </wps:spPr>
                          <wps:txbx>
                            <w:txbxContent>
                              <w:p w14:paraId="2E8809FB" w14:textId="77777777" w:rsidR="0007558B" w:rsidRDefault="0007558B">
                                <w:pPr>
                                  <w:textDirection w:val="btLr"/>
                                </w:pPr>
                              </w:p>
                            </w:txbxContent>
                          </wps:txbx>
                          <wps:bodyPr spcFirstLastPara="1" wrap="square" lIns="91425" tIns="91425" rIns="91425" bIns="91425" anchor="ctr" anchorCtr="0">
                            <a:noAutofit/>
                          </wps:bodyPr>
                        </wps:wsp>
                        <wps:wsp>
                          <wps:cNvPr id="104628604" name="Rectangle 104628604"/>
                          <wps:cNvSpPr/>
                          <wps:spPr>
                            <a:xfrm>
                              <a:off x="1802700" y="3551400"/>
                              <a:ext cx="7086600" cy="457200"/>
                            </a:xfrm>
                            <a:prstGeom prst="rect">
                              <a:avLst/>
                            </a:prstGeom>
                            <a:solidFill>
                              <a:srgbClr val="FFFFFF"/>
                            </a:solidFill>
                            <a:ln>
                              <a:noFill/>
                            </a:ln>
                          </wps:spPr>
                          <wps:txbx>
                            <w:txbxContent>
                              <w:p w14:paraId="25E901BA" w14:textId="77777777" w:rsidR="0007558B" w:rsidRDefault="0007558B">
                                <w:pPr>
                                  <w:jc w:val="center"/>
                                  <w:textDirection w:val="btLr"/>
                                </w:pPr>
                              </w:p>
                              <w:p w14:paraId="76F40ED7" w14:textId="77777777" w:rsidR="0007558B" w:rsidRDefault="007B1118">
                                <w:pPr>
                                  <w:jc w:val="center"/>
                                  <w:textDirection w:val="btLr"/>
                                </w:pPr>
                                <w:r>
                                  <w:rPr>
                                    <w:rFonts w:ascii="Gill Sans" w:eastAsia="Gill Sans" w:hAnsi="Gill Sans" w:cs="Gill Sans"/>
                                    <w:smallCaps/>
                                    <w:color w:val="000000"/>
                                  </w:rPr>
                                  <w:t xml:space="preserve">Wes Moore, Governor   •   Aruna Miller, Lt. </w:t>
                                </w:r>
                                <w:r>
                                  <w:rPr>
                                    <w:rFonts w:ascii="Gill Sans" w:eastAsia="Gill Sans" w:hAnsi="Gill Sans" w:cs="Gill Sans"/>
                                    <w:smallCaps/>
                                    <w:color w:val="000000"/>
                                  </w:rPr>
                                  <w:t>Governor   •   Portia Wu, Secretary</w:t>
                                </w:r>
                              </w:p>
                            </w:txbxContent>
                          </wps:txbx>
                          <wps:bodyPr spcFirstLastPara="1" wrap="square" lIns="91425" tIns="45700" rIns="91425" bIns="45700" anchor="t" anchorCtr="0">
                            <a:noAutofit/>
                          </wps:bodyPr>
                        </wps:wsp>
                        <wps:wsp>
                          <wps:cNvPr id="1988168563" name="Straight Arrow Connector 1988168563"/>
                          <wps:cNvCnPr/>
                          <wps:spPr>
                            <a:xfrm>
                              <a:off x="2165125" y="3670925"/>
                              <a:ext cx="6428700" cy="0"/>
                            </a:xfrm>
                            <a:prstGeom prst="straightConnector1">
                              <a:avLst/>
                            </a:prstGeom>
                            <a:noFill/>
                            <a:ln w="9525" cap="flat" cmpd="sng">
                              <a:solidFill>
                                <a:srgbClr val="CC0000"/>
                              </a:solidFill>
                              <a:prstDash val="solid"/>
                              <a:round/>
                              <a:headEnd type="none" w="sm" len="sm"/>
                              <a:tailEnd type="none" w="sm" len="sm"/>
                            </a:ln>
                          </wps:spPr>
                          <wps:bodyPr/>
                        </wps:wsp>
                      </wpg:grpSp>
                    </wpg:grpSp>
                  </wpg:wgp>
                </a:graphicData>
              </a:graphic>
            </wp:anchor>
          </w:drawing>
        </mc:Choice>
        <mc:Fallback>
          <w:pict>
            <v:group w14:anchorId="3E190ED6" id="Group 1" o:spid="_x0000_s1026" style="position:absolute;left:0;text-align:left;margin-left:0;margin-top:0;width:560.25pt;height:37.55pt;z-index:-251657216;mso-wrap-distance-left:0;mso-wrap-distance-right:0" coordorigin="17884,35415" coordsize="71152,4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">
              <v:group id="Group 244453533" o:spid="_x0000_s1027" style="position:absolute;left:17884;top:35415;width:71151;height:4769" coordorigin="17884,35415" coordsize="71152,4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">
                <v:rect id="Rectangle 2032762491" o:spid="_x0000_s1028" style="position:absolute;left:17884;top:35415;width:71152;height:47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" filled="f" stroked="f">
                  <v:textbox inset="2.53958mm,2.53958mm,2.53958mm,2.53958mm">
                    <w:txbxContent>
                      <w:p w14:paraId="585B06A9" w14:textId="77777777" w:rsidR="0007558B" w:rsidRDefault="0007558B">
                        <w:pPr>
                          <w:textDirection w:val="btLr"/>
                        </w:pPr>
                      </w:p>
                    </w:txbxContent>
                  </v:textbox>
                </v:rect>
                <v:group id="Group 1170312800" o:spid="_x0000_s1029" style="position:absolute;left:17884;top:35415;width:71151;height:4769" coordorigin="18027,35514" coordsize="70866,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">
                  <v:rect id="Rectangle 1785414703" o:spid="_x0000_s1030" style="position:absolute;left:18027;top:35514;width:7086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" filled="f" stroked="f">
                    <v:textbox inset="2.53958mm,2.53958mm,2.53958mm,2.53958mm">
                      <w:txbxContent>
                        <w:p w14:paraId="2E8809FB" w14:textId="77777777" w:rsidR="0007558B" w:rsidRDefault="0007558B">
                          <w:pPr>
                            <w:textDirection w:val="btLr"/>
                          </w:pPr>
                        </w:p>
                      </w:txbxContent>
                    </v:textbox>
                  </v:rect>
                  <v:rect id="Rectangle 104628604" o:spid="_x0000_s1031" style="position:absolute;left:18027;top:35514;width:7086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" stroked="f">
                    <v:textbox inset="2.53958mm,1.2694mm,2.53958mm,1.2694mm">
                      <w:txbxContent>
                        <w:p w14:paraId="25E901BA" w14:textId="77777777" w:rsidR="0007558B" w:rsidRDefault="0007558B">
                          <w:pPr>
                            <w:jc w:val="center"/>
                            <w:textDirection w:val="btLr"/>
                          </w:pPr>
                        </w:p>
                        <w:p w14:paraId="76F40ED7" w14:textId="77777777" w:rsidR="0007558B" w:rsidRDefault="00000000">
                          <w:pPr>
                            <w:jc w:val="center"/>
                            <w:textDirection w:val="btLr"/>
                          </w:pPr>
                          <w:r>
                            <w:rPr>
                              <w:rFonts w:ascii="Gill Sans" w:eastAsia="Gill Sans" w:hAnsi="Gill Sans" w:cs="Gill Sans"/>
                              <w:smallCaps/>
                              <w:color w:val="000000"/>
                            </w:rPr>
                            <w:t>Wes Moore, Governor   •   Aruna Miller, Lt. Governor   •   Portia Wu, Secretary</w:t>
                          </w:r>
                        </w:p>
                      </w:txbxContent>
                    </v:textbox>
                  </v:rect>
                  <v:shapetype id="_x0000_t32" coordsize="21600,21600" o:spt="32" o:oned="t" path="m,l21600,21600e" filled="f">
                    <v:path arrowok="t" fillok="f" o:connecttype="none"/>
                    <o:lock v:ext="edit" shapetype="t"/>
                  </v:shapetype>
                  <v:shape id="Straight Arrow Connector 1988168563" o:spid="_x0000_s1032" type="#_x0000_t32" style="position:absolute;left:21651;top:36709;width:642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" strokecolor="#c00">
                    <v:stroke startarrowwidth="narrow" startarrowlength="short" endarrowwidth="narrow" endarrowlength="short"/>
                  </v:shape>
                </v:group>
              </v:group>
            </v:group>
          </w:pict>
        </mc:Fallback>
      </mc:AlternateContent>
    </w:r>
  </w:p>
  <w:p w14:paraId="6D6E62A1" w14:textId="77777777" w:rsidR="0007558B" w:rsidRDefault="0007558B">
    <w:pPr>
      <w:widowControl/>
      <w:pBdr>
        <w:top w:val="nil"/>
        <w:left w:val="nil"/>
        <w:bottom w:val="nil"/>
        <w:right w:val="nil"/>
        <w:between w:val="nil"/>
      </w:pBdr>
      <w:jc w:val="center"/>
      <w:rPr>
        <w:rFonts w:ascii="Gill Sans" w:eastAsia="Gill Sans" w:hAnsi="Gill Sans" w:cs="Gill Sans"/>
        <w:smallCaps/>
        <w:color w:val="FF0000"/>
        <w:sz w:val="20"/>
        <w:szCs w:val="20"/>
      </w:rPr>
    </w:pPr>
  </w:p>
  <w:p w14:paraId="3ECABA2B" w14:textId="77777777" w:rsidR="0007558B" w:rsidRDefault="0007558B">
    <w:pPr>
      <w:widowControl/>
      <w:pBdr>
        <w:top w:val="nil"/>
        <w:left w:val="nil"/>
        <w:bottom w:val="nil"/>
        <w:right w:val="nil"/>
        <w:between w:val="nil"/>
      </w:pBdr>
      <w:jc w:val="center"/>
      <w:rPr>
        <w:rFonts w:ascii="Gill Sans" w:eastAsia="Gill Sans" w:hAnsi="Gill Sans" w:cs="Gill Sans"/>
        <w:smallCap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1E8F2" w14:textId="77777777" w:rsidR="005E494C" w:rsidRDefault="005E494C">
      <w:r>
        <w:separator/>
      </w:r>
    </w:p>
  </w:footnote>
  <w:footnote w:type="continuationSeparator" w:id="0">
    <w:p w14:paraId="4B799F86" w14:textId="77777777" w:rsidR="005E494C" w:rsidRDefault="005E4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FD95" w14:textId="611CFACF" w:rsidR="009B4B27" w:rsidRPr="009B4B27" w:rsidRDefault="009B4B27">
    <w:pPr>
      <w:pStyle w:val="Header"/>
    </w:pPr>
    <w:r w:rsidRPr="009B4B27">
      <w:t>MOSH Instruction 24-6 Voluntary Protection Programs Policies and Procedures 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6E9F3" w14:textId="77777777" w:rsidR="0007558B" w:rsidRDefault="007B1118">
    <w:pPr>
      <w:tabs>
        <w:tab w:val="center" w:pos="4680"/>
        <w:tab w:val="right" w:pos="9360"/>
      </w:tabs>
      <w:jc w:val="right"/>
    </w:pPr>
    <w:bookmarkStart w:id="6" w:name="_heading=h.3znysh7" w:colFirst="0" w:colLast="0"/>
    <w:bookmarkEnd w:id="6"/>
    <w:r>
      <w:t>DIVISION OF LABOR AND INDUSTRY</w:t>
    </w:r>
    <w:r>
      <w:br/>
    </w:r>
    <w:r>
      <w:t>MARYLAND OCCUPATIONAL SAFETY AND HEALTH</w:t>
    </w:r>
    <w:r>
      <w:rPr>
        <w:noProof/>
      </w:rPr>
      <w:drawing>
        <wp:anchor distT="0" distB="0" distL="114300" distR="114300" simplePos="0" relativeHeight="251658240" behindDoc="0" locked="0" layoutInCell="1" hidden="0" allowOverlap="1" wp14:anchorId="06C9F7A5" wp14:editId="0D2E239E">
          <wp:simplePos x="0" y="0"/>
          <wp:positionH relativeFrom="column">
            <wp:posOffset>-99053</wp:posOffset>
          </wp:positionH>
          <wp:positionV relativeFrom="paragraph">
            <wp:posOffset>-51428</wp:posOffset>
          </wp:positionV>
          <wp:extent cx="2155825" cy="64643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55825" cy="646430"/>
                  </a:xfrm>
                  <a:prstGeom prst="rect">
                    <a:avLst/>
                  </a:prstGeom>
                  <a:ln/>
                </pic:spPr>
              </pic:pic>
            </a:graphicData>
          </a:graphic>
        </wp:anchor>
      </w:drawing>
    </w:r>
  </w:p>
  <w:p w14:paraId="7999E8D0" w14:textId="77777777" w:rsidR="0007558B" w:rsidRDefault="007B1118">
    <w:pPr>
      <w:tabs>
        <w:tab w:val="center" w:pos="4680"/>
        <w:tab w:val="right" w:pos="9360"/>
      </w:tabs>
      <w:jc w:val="right"/>
      <w:rPr>
        <w:sz w:val="20"/>
        <w:szCs w:val="20"/>
      </w:rPr>
    </w:pPr>
    <w:r>
      <w:t>10946 GOLDEN WEST DRIVE, SUITE 160</w:t>
    </w:r>
  </w:p>
  <w:p w14:paraId="20857617" w14:textId="77777777" w:rsidR="0007558B" w:rsidRDefault="007B1118">
    <w:pPr>
      <w:tabs>
        <w:tab w:val="center" w:pos="4680"/>
        <w:tab w:val="right" w:pos="9360"/>
      </w:tabs>
      <w:jc w:val="right"/>
    </w:pPr>
    <w:r>
      <w:t>HUNT VALLEY, MD  21031</w:t>
    </w:r>
  </w:p>
  <w:p w14:paraId="3B101404" w14:textId="77777777" w:rsidR="0007558B" w:rsidRDefault="007B1118">
    <w:pPr>
      <w:tabs>
        <w:tab w:val="center" w:pos="4680"/>
        <w:tab w:val="right" w:pos="9360"/>
      </w:tabs>
      <w:jc w:val="right"/>
      <w:rPr>
        <w:color w:val="CC0000"/>
        <w:sz w:val="24"/>
        <w:szCs w:val="24"/>
      </w:rPr>
    </w:pPr>
    <w:r>
      <w:rPr>
        <w:color w:val="CC0000"/>
        <w:sz w:val="24"/>
        <w:szCs w:val="24"/>
      </w:rPr>
      <w:t>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953F3"/>
    <w:multiLevelType w:val="multilevel"/>
    <w:tmpl w:val="B11C32D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26037018"/>
    <w:multiLevelType w:val="hybridMultilevel"/>
    <w:tmpl w:val="B8040A76"/>
    <w:lvl w:ilvl="0" w:tplc="D10425F6">
      <w:start w:val="1"/>
      <w:numFmt w:val="decimal"/>
      <w:lvlText w:val="%1."/>
      <w:lvlJc w:val="left"/>
      <w:pPr>
        <w:ind w:left="1170" w:hanging="360"/>
      </w:pPr>
      <w:rPr>
        <w:rFonts w:hint="default"/>
        <w:b w:val="0"/>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27B1750B"/>
    <w:multiLevelType w:val="multilevel"/>
    <w:tmpl w:val="0D46AC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0B93709"/>
    <w:multiLevelType w:val="multilevel"/>
    <w:tmpl w:val="3F82D92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42EA5873"/>
    <w:multiLevelType w:val="hybridMultilevel"/>
    <w:tmpl w:val="0C4ABC1E"/>
    <w:lvl w:ilvl="0" w:tplc="C372966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98064000">
    <w:abstractNumId w:val="0"/>
  </w:num>
  <w:num w:numId="2" w16cid:durableId="2084914807">
    <w:abstractNumId w:val="2"/>
  </w:num>
  <w:num w:numId="3" w16cid:durableId="20251967">
    <w:abstractNumId w:val="3"/>
  </w:num>
  <w:num w:numId="4" w16cid:durableId="1237857569">
    <w:abstractNumId w:val="4"/>
  </w:num>
  <w:num w:numId="5" w16cid:durableId="1793327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58B"/>
    <w:rsid w:val="0007558B"/>
    <w:rsid w:val="00160992"/>
    <w:rsid w:val="002B3A2C"/>
    <w:rsid w:val="00413B1C"/>
    <w:rsid w:val="00461085"/>
    <w:rsid w:val="005750E9"/>
    <w:rsid w:val="005C681A"/>
    <w:rsid w:val="005E494C"/>
    <w:rsid w:val="00685234"/>
    <w:rsid w:val="0070029A"/>
    <w:rsid w:val="007A0626"/>
    <w:rsid w:val="007B1118"/>
    <w:rsid w:val="009B4B27"/>
    <w:rsid w:val="009D4BF2"/>
    <w:rsid w:val="00B81341"/>
    <w:rsid w:val="00C440ED"/>
    <w:rsid w:val="00CE7800"/>
    <w:rsid w:val="00D52BEE"/>
    <w:rsid w:val="00DF72B0"/>
    <w:rsid w:val="00E25C72"/>
    <w:rsid w:val="00E90D49"/>
    <w:rsid w:val="00EB6626"/>
    <w:rsid w:val="00F51154"/>
    <w:rsid w:val="00FD0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04B0C"/>
  <w15:docId w15:val="{2660492A-34EA-46B6-AC92-22EB5F2BF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1"/>
      <w:ind w:left="236"/>
      <w:outlineLvl w:val="0"/>
    </w:pPr>
    <w:rPr>
      <w:b/>
      <w:sz w:val="23"/>
      <w:szCs w:val="23"/>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line="1186" w:lineRule="auto"/>
    </w:pPr>
    <w:rPr>
      <w:rFonts w:ascii="Arial" w:eastAsia="Arial" w:hAnsi="Arial" w:cs="Arial"/>
      <w:b/>
      <w:sz w:val="106"/>
      <w:szCs w:val="10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D4BF2"/>
    <w:pPr>
      <w:tabs>
        <w:tab w:val="center" w:pos="4680"/>
        <w:tab w:val="right" w:pos="9360"/>
      </w:tabs>
    </w:pPr>
  </w:style>
  <w:style w:type="character" w:customStyle="1" w:styleId="HeaderChar">
    <w:name w:val="Header Char"/>
    <w:basedOn w:val="DefaultParagraphFont"/>
    <w:link w:val="Header"/>
    <w:uiPriority w:val="99"/>
    <w:rsid w:val="009D4BF2"/>
  </w:style>
  <w:style w:type="paragraph" w:styleId="Footer">
    <w:name w:val="footer"/>
    <w:basedOn w:val="Normal"/>
    <w:link w:val="FooterChar"/>
    <w:uiPriority w:val="99"/>
    <w:unhideWhenUsed/>
    <w:rsid w:val="009D4BF2"/>
    <w:pPr>
      <w:tabs>
        <w:tab w:val="center" w:pos="4680"/>
        <w:tab w:val="right" w:pos="9360"/>
      </w:tabs>
    </w:pPr>
  </w:style>
  <w:style w:type="character" w:customStyle="1" w:styleId="FooterChar">
    <w:name w:val="Footer Char"/>
    <w:basedOn w:val="DefaultParagraphFont"/>
    <w:link w:val="Footer"/>
    <w:uiPriority w:val="99"/>
    <w:rsid w:val="009D4BF2"/>
  </w:style>
  <w:style w:type="paragraph" w:styleId="ListParagraph">
    <w:name w:val="List Paragraph"/>
    <w:basedOn w:val="Normal"/>
    <w:uiPriority w:val="34"/>
    <w:qFormat/>
    <w:rsid w:val="009D4BF2"/>
    <w:pPr>
      <w:ind w:left="720"/>
      <w:contextualSpacing/>
    </w:pPr>
  </w:style>
  <w:style w:type="character" w:styleId="Hyperlink">
    <w:name w:val="Hyperlink"/>
    <w:basedOn w:val="DefaultParagraphFont"/>
    <w:uiPriority w:val="99"/>
    <w:unhideWhenUsed/>
    <w:rsid w:val="007A0626"/>
    <w:rPr>
      <w:color w:val="0000FF" w:themeColor="hyperlink"/>
      <w:u w:val="single"/>
    </w:rPr>
  </w:style>
  <w:style w:type="character" w:styleId="UnresolvedMention">
    <w:name w:val="Unresolved Mention"/>
    <w:basedOn w:val="DefaultParagraphFont"/>
    <w:uiPriority w:val="99"/>
    <w:semiHidden/>
    <w:unhideWhenUsed/>
    <w:rsid w:val="007A0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Kcafl/l3JpbhrsppVKUdsfXU9w==">CgMxLjAyDmguYnhmaWw4YjMzNDg4Mg5oLm9hdjgxbDZxdTNyMTIOaC5xdWJ4aDR4ZHF0cnIyDmgudGlzeTRkd3U0OWRwMg5oLjJieXQwemZnNml5aTIOaC53ZnJ5a2t3Y2p4Y3EyCWguM3pueXNoNzgAciExQ01wb3ZSY0dzY1piQWZPYmotQUNadWMxbktqcDhVTms=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2</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Dillow</dc:creator>
  <cp:lastModifiedBy>Rachel Grayson</cp:lastModifiedBy>
  <cp:revision>11</cp:revision>
  <dcterms:created xsi:type="dcterms:W3CDTF">2024-01-19T16:01:00Z</dcterms:created>
  <dcterms:modified xsi:type="dcterms:W3CDTF">2024-01-26T22:17:00Z</dcterms:modified>
</cp:coreProperties>
</file>